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rPr/>
      </w:pPr>
      <w:r>
        <w:rPr/>
        <w:drawing>
          <wp:anchor behindDoc="0" distT="0" distB="10160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19650" cy="80010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>
          <w:sz w:val="24"/>
        </w:rPr>
      </w:pPr>
      <w:r>
        <w:rPr>
          <w:sz w:val="24"/>
        </w:rPr>
        <w:t>Опросный лист на блок дозирования химреагента БДР</w:t>
      </w:r>
    </w:p>
    <w:p>
      <w:pPr>
        <w:pStyle w:val="Style1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9"/>
        <w:ind w:left="0" w:right="0" w:firstLine="539"/>
        <w:jc w:val="both"/>
        <w:rPr>
          <w:sz w:val="24"/>
        </w:rPr>
      </w:pPr>
      <w:r>
        <w:rPr>
          <w:sz w:val="24"/>
        </w:rPr>
        <w:t>Предприятие:_________________________________________________________________</w:t>
      </w:r>
    </w:p>
    <w:p>
      <w:pPr>
        <w:pStyle w:val="Style19"/>
        <w:spacing w:before="200" w:after="120"/>
        <w:ind w:left="0" w:right="0" w:firstLine="539"/>
        <w:jc w:val="both"/>
        <w:rPr>
          <w:sz w:val="24"/>
        </w:rPr>
      </w:pPr>
      <w:r>
        <w:rPr>
          <w:sz w:val="24"/>
        </w:rPr>
        <w:t>Месторождение:_______________________________________________________________</w:t>
      </w:r>
    </w:p>
    <w:p>
      <w:pPr>
        <w:pStyle w:val="2"/>
        <w:spacing w:lineRule="auto" w:line="360" w:before="0" w:after="120"/>
        <w:ind w:left="0" w:right="0" w:firstLine="539"/>
        <w:jc w:val="both"/>
        <w:rPr/>
      </w:pPr>
      <w:r>
        <w:rPr/>
        <w:t>Наименование оборудования: __________________________________________________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345"/>
        <w:gridCol w:w="3344"/>
        <w:gridCol w:w="1"/>
        <w:gridCol w:w="2643"/>
      </w:tblGrid>
      <w:tr>
        <w:trPr>
          <w:trHeight w:val="707" w:hRule="atLeast"/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592" w:leader="none"/>
              </w:tabs>
              <w:spacing w:lineRule="auto" w:line="288" w:before="0" w:after="0"/>
              <w:ind w:left="-108" w:right="0" w:hanging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Значения</w:t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3</w:t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  <w:t>1.1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0" w:after="0"/>
              <w:outlineLvl w:val="5"/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  <w:t>Тип дозировочного насоса:</w:t>
            </w:r>
          </w:p>
          <w:p>
            <w:pPr>
              <w:pStyle w:val="6"/>
              <w:spacing w:before="0" w:after="0"/>
              <w:outlineLvl w:val="5"/>
              <w:rPr>
                <w:rFonts w:eastAsia="Times New Roman" w:cs="Times New Roman"/>
                <w:b w:val="false"/>
                <w:lang w:eastAsia="ru-RU"/>
              </w:rPr>
            </w:pPr>
            <w:r>
              <w:rPr>
                <w:rFonts w:eastAsia="Times New Roman" w:cs="Times New Roman"/>
                <w:b w:val="false"/>
                <w:lang w:eastAsia="ru-RU"/>
              </w:rPr>
              <w:t>- Номинальная подача*, л/час;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0" w:after="0"/>
              <w:outlineLvl w:val="5"/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  <w:t>- Предельное давление*, кгс/см</w:t>
            </w:r>
            <w:r>
              <w:rPr>
                <w:rFonts w:eastAsia="Times New Roman" w:cs="Times New Roman"/>
                <w:b w:val="false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0" w:after="0"/>
              <w:outlineLvl w:val="5"/>
              <w:rPr>
                <w:rFonts w:eastAsia="Times New Roman" w:cs="Times New Roman"/>
                <w:b w:val="false"/>
                <w:bCs w:val="false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b w:val="false"/>
                <w:szCs w:val="20"/>
                <w:lang w:eastAsia="ru-RU"/>
              </w:rPr>
              <w:t>Номинальное давление*, кгс/см</w:t>
            </w:r>
            <w:r>
              <w:rPr>
                <w:rFonts w:eastAsia="Times New Roman" w:cs="Times New Roman"/>
                <w:b w:val="false"/>
                <w:bCs w:val="false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  <w:t>1.2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>Количество дозировочных насосов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  <w:t>1.3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Тип шестеренного насоса                                          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  <w:t>1.4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0" w:after="0"/>
              <w:outlineLvl w:val="5"/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  <w:t>Количество шестеренных насосов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0" w:after="0"/>
              <w:jc w:val="center"/>
              <w:outlineLvl w:val="5"/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0" w:after="0"/>
              <w:outlineLvl w:val="5"/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  <w:t>Объем внутренней расходной емкости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0" w:after="0"/>
              <w:jc w:val="center"/>
              <w:outlineLvl w:val="5"/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0" w:after="0"/>
              <w:outlineLvl w:val="5"/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  <w:t>Объем наружной расходной емкости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0" w:after="0"/>
              <w:jc w:val="center"/>
              <w:outlineLvl w:val="5"/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0" w:after="0"/>
              <w:outlineLvl w:val="5"/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  <w:t>а) С укрытием  из «сэндвич – панелей»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  <w:t>б)  без укрытия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0" w:after="0"/>
              <w:jc w:val="center"/>
              <w:outlineLvl w:val="5"/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3"/>
                <w:w w:val="93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Cs w:val="20"/>
                <w:lang w:eastAsia="ru-RU"/>
              </w:rPr>
              <w:t>Наличие фильтров тонкой  очистки (площадь ячейки фильтроэлемента - 1мм2) на приемных линиях дозировочных насосов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0" w:after="0"/>
              <w:jc w:val="center"/>
              <w:outlineLvl w:val="5"/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Наличие мерной линейки из несгораемого материала со шкалой до 0, 01 м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6"/>
              <w:spacing w:before="0" w:after="0"/>
              <w:jc w:val="center"/>
              <w:outlineLvl w:val="5"/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ind w:left="0" w:right="0" w:firstLine="14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Наличие тарировочной емкости</w:t>
            </w:r>
          </w:p>
          <w:p>
            <w:pPr>
              <w:pStyle w:val="Normal"/>
              <w:shd w:fill="FFFFFF" w:val="clear"/>
              <w:spacing w:before="0" w:after="0"/>
              <w:ind w:left="0" w:right="0" w:firstLine="14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before="0" w:after="0"/>
              <w:ind w:left="0" w:right="0" w:firstLine="14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val="en-US" w:eastAsia="ru-RU"/>
              </w:rPr>
              <w:t>V</w:t>
            </w:r>
            <w:r>
              <w:rPr>
                <w:rFonts w:eastAsia="Times New Roman" w:cs="Times New Roman"/>
                <w:szCs w:val="20"/>
                <w:lang w:eastAsia="ru-RU"/>
              </w:rPr>
              <w:t>=0,005 – 0,04 м</w:t>
            </w:r>
            <w:r>
              <w:rPr>
                <w:rFonts w:eastAsia="Times New Roman" w:cs="Times New Roman"/>
                <w:szCs w:val="20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 *)</w:t>
            </w:r>
          </w:p>
          <w:p>
            <w:pPr>
              <w:pStyle w:val="Normal"/>
              <w:shd w:fill="FFFFFF" w:val="clear"/>
              <w:spacing w:before="0" w:after="0"/>
              <w:ind w:left="0" w:right="0" w:firstLine="14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*) объем емкостей зависит от требований заказчика.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1.11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Наличие обратных  клапанов внутри  блока  на  нагнетательных   линиях дозировочных насосов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1.12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Поставка в комплекте с установкой  обратного клапана для обвязки наружной нагнетательной линии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1.13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Поставка  в комплекте    с установкой  наружной нагнетательной линии (</w:t>
            </w:r>
            <w:r>
              <w:rPr>
                <w:rFonts w:eastAsia="Times New Roman" w:cs="Times New Roman"/>
                <w:color w:val="000000"/>
                <w:spacing w:val="-2"/>
                <w:szCs w:val="20"/>
                <w:lang w:val="en-US" w:eastAsia="ru-RU"/>
              </w:rPr>
              <w:t>L</w:t>
            </w: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 = 10 м)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1.14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Наличие дренажной линии на внутренней  и наружной емкостях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1.15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Наличие визуального уровнемера на внутренней и   наружной емкостях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1.16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Наличие отдельной уравнительной линии между внутренней  и   наружной емкостями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1.17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Обогрев химреагента во внутренней расходной емкости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0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1.18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0"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Перекачка  химреагента </w:t>
            </w:r>
            <w:r>
              <w:rPr>
                <w:rFonts w:eastAsia="Times New Roman" w:cs="Times New Roman"/>
                <w:iCs/>
                <w:szCs w:val="20"/>
                <w:lang w:eastAsia="ru-RU"/>
              </w:rPr>
              <w:t>из передвижной заправочной емкости</w:t>
            </w: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 через шестеренный  насос во внутреннюю расходную емкость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8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1.19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8"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Перекачка химреагента из наружной емкости во внутреннюю расходную емкость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1.19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Возможность отбора химреагента на насос непосредственно с </w:t>
            </w:r>
          </w:p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тарировочной емкости, для замера расхода химреагента на каждом дозировочном насосе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1.20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Предусмотреть возможность  эксплуатации  2-х    дозировочных    насосов одновременно с обвязкой в одну нагнетательную линию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1.21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Состав установки: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а) технологический отсек (класс взрывоопасной зоны В–1а) и аппаратный отсек (общепромышленное исполнение)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б) технологический отсек, совмещенный с аппаратным (класс взрывоопасной зоны В – 1а)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г) технологический отсек (класс </w:t>
            </w:r>
            <w:r>
              <w:rPr>
                <w:rFonts w:eastAsia="Times New Roman" w:cs="Times New Roman"/>
                <w:bCs/>
                <w:szCs w:val="20"/>
                <w:lang w:eastAsia="ru-RU"/>
              </w:rPr>
              <w:t xml:space="preserve">взрывоопасной зоны </w:t>
            </w:r>
            <w:r>
              <w:rPr>
                <w:rFonts w:eastAsia="Times New Roman" w:cs="Times New Roman"/>
                <w:szCs w:val="20"/>
                <w:lang w:eastAsia="ru-RU"/>
              </w:rPr>
              <w:t>В–1а) и шкаф управления, устанавливаемый в помещении общепромышленного исполнения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д) технологический отсек (класс </w:t>
            </w:r>
            <w:r>
              <w:rPr>
                <w:rFonts w:eastAsia="Times New Roman" w:cs="Times New Roman"/>
                <w:bCs/>
                <w:szCs w:val="20"/>
                <w:lang w:eastAsia="ru-RU"/>
              </w:rPr>
              <w:t xml:space="preserve">взрывоопасной зоны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В–1а) и шкаф управления, устанавливаемый на стене технологического отсека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1.22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Вентиляция: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а) вытяжная с естественным побуждением через дефлектор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б) вытяжная периодического действия с механическим побуждением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45"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в) приточная в нижнюю зону через жалюзийную решетку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1.23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tabs>
                <w:tab w:val="left" w:pos="7069" w:leader="none"/>
                <w:tab w:val="left" w:pos="7325" w:leader="none"/>
              </w:tabs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Условия по окраске наружных стен, их соответствие корпоративным цветам (в этом случае приложить образец)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1.24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Средняя температура наиболее холодной пятидневки, °С</w:t>
            </w:r>
          </w:p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Абсолютно-минимальная температура, °С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101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Cs w:val="20"/>
                <w:lang w:eastAsia="ru-RU"/>
              </w:rPr>
              <w:t>2 Требования к системе автоматики:</w:t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8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2.1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8"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Контроль текущего уровня  реагента во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внутренней расходной</w:t>
            </w: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 емкости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8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2.2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9"/>
              <w:spacing w:before="0" w:after="0"/>
              <w:outlineLvl w:val="8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 давления на выкидке насосов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0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2.3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0"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Контроль температуры во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внутренней расходной</w:t>
            </w: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 емкости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8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2.4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8" w:before="0" w:after="0"/>
              <w:rPr>
                <w:rFonts w:eastAsia="Times New Roman" w:cs="Times New Roman"/>
                <w:color w:val="000000"/>
                <w:spacing w:val="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6"/>
                <w:szCs w:val="20"/>
                <w:lang w:eastAsia="ru-RU"/>
              </w:rPr>
              <w:t>Автоматическое включение вытяжного вентилятора в технологическом отсеке при достижении 20%НКПРП паров взрывоопасных смесей и отключение всех электропотребителей при достижении 50%НКПРП паров взрывоопасных смесей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2.5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Световая и звуковая сигнализация у входа о повышенном уровне загазованности в помещении технологического отсека.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2.6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Кнопка опробования ламп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0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2.7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0"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Сигнализация неисправности газоанализатора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2.8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Световая сигнализация о включении вентилятора, расположен-ная у входа в технологический отсек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2.9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Сигнализация о пожаре  с выводом на клеммную коробку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2.10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Автоматическое отключение всех электропотребителей при пожаре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2.11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Наличие контроля несанкционированного доступа в технологический и аппаратный отсеки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2.12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Наличие контроля текущего расхода реагента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8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2.13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8"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Автоматическое управление отоплением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38"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Сигнализация низкой температуры в технологическом и аппаратном отсеках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2.14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Марки применяемых КТС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2.15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Дистанционное включение /отключение НД1, НД2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2.16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Контроль состояния НД1, НД2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2.17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Передача данных на общекустовую станцию управления (указать интерфейс)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2.18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Дистанционный контроль температуры внутри отсеков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101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Cs w:val="20"/>
                <w:lang w:eastAsia="ru-RU"/>
              </w:rPr>
              <w:t>3 Требования по электротехнической части:</w:t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3.1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Предусмотреть рабочее освещение в технологическом и аппаратном отсеках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3.2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9"/>
              <w:spacing w:before="0" w:after="0"/>
              <w:outlineLvl w:val="8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Предусмотреть аварийное освещение в технологи-ческом отсеке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3.3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9"/>
              <w:spacing w:before="0" w:after="0"/>
              <w:outlineLvl w:val="8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Предусмотреть аварийное освещение в аппаратном отсеке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3.4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Предусмотреть освещение входа в технологический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отсек</w:t>
            </w: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  светильником с уровнем взрывозащиты «повышенная надежность против взрыва»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3.5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Предусмотреть освещение входа в аппаратный отсек светильником с уровнем взрывозащиты «повышенная надежность против взрыва»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3.6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Сеть освещения выполнить медным кабелем. Количество жил принять с учетом назначения (фазный, нулевой рабочий и нулевой защитный проводники). Выполнить монтаж осветительной сети в соответствии с требованиями седьмого издания ПУЭ и ГОСТ Р 50462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3.7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Клеммные коробки  и кнопочные посты управления для управления вентилятором и наружним освещением  установить снаружи на стене установки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3.8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Для насосов предусмотреть кнопки управления внутри технологического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отсека</w:t>
            </w: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. Около кнопок управления установить таблички с надписями, указывающими операции, для которых они предназначены - ПТЭЭП п.2.2. 1 4.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3.9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Количество вводных отверстий клеммных коробок принять с учетом количества подводимых силовых и контрольных кабелей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3.10</w:t>
            </w:r>
          </w:p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Выполнить унифицированные кабельные вводы с уплотнениями при проходе кабелей через стены согласно требований ВСН 332- 74, ВНТЛ 01/87/04-84 П.2Л9.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3.11</w:t>
            </w:r>
          </w:p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На всем электрооборудовании установить знаки «Опасность поражения электрическим током» в соответствии с ГОСТ Р 12.4.026-2001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3.12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На входных дверях предусмотреть таблички (ППБ 01-03 п.ЗЗ), содержащие надписи: </w:t>
            </w:r>
          </w:p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- наименование помещения;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- категория взрывопожарной и пожарной опасности; 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- класс зоны по ПУЭ;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3.13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Применение и выбор электрооборудования в соответствии с гл.7.3 ПУЭ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3.14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Меры электробезопасности и пожарной безопасности согласно ПУЭ.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3.15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В отсеках установки выполнить основную систему уравнивания потенциалов согласно главы 1.7 ПУЭ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3.16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Обеспечить непрерывную, надежную, долговечную электрическую связь между металлической кровлей и металлическими конструкциями установки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3.17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Предусмотреть заземление вентилятора с электродвигателем и воздуховода в соответствии с требованиями ПУЭ п. 1.7.37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3.18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Проводники защитного  заземления  должны  иметь  цветовое  обозначение чередующимися продольными или поперечными полосами одинаковой ширины желтого и зеленого цвета (ПУЭ п.1.1.29)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3.19</w:t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Укомплектовать в полном объеме документацией на установленное взрывозащищенное оборудование: </w:t>
            </w:r>
          </w:p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- паспорт; </w:t>
            </w:r>
          </w:p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- сертификат соответствия требованиям промышленной безопасности; </w:t>
            </w:r>
          </w:p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- сертификат пожарной безопасности; </w:t>
            </w:r>
          </w:p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- разрешение Ростехнадзора на изготовление и применение данного оборудования на опасном производственном процессе; </w:t>
            </w:r>
          </w:p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- инструкция по эксплуатации;</w:t>
            </w:r>
          </w:p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- свидетельство о взрывозащищенности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101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0E0E0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Cs w:val="20"/>
                <w:lang w:eastAsia="ru-RU"/>
              </w:rPr>
              <w:t>4 Характеристика дозируемой жидкости:</w:t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23" w:before="0" w:after="0"/>
              <w:ind w:left="0" w:right="101" w:hanging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Перекачиваемая среда:</w:t>
            </w:r>
          </w:p>
          <w:p>
            <w:pPr>
              <w:pStyle w:val="Normal"/>
              <w:shd w:fill="FFFFFF" w:val="clear"/>
              <w:spacing w:lineRule="exact" w:line="223" w:before="0" w:after="0"/>
              <w:ind w:left="29" w:right="101" w:hanging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- наименование среды</w:t>
            </w:r>
          </w:p>
          <w:p>
            <w:pPr>
              <w:pStyle w:val="Normal"/>
              <w:shd w:fill="FFFFFF" w:val="clear"/>
              <w:spacing w:lineRule="exact" w:line="223" w:before="0" w:after="0"/>
              <w:ind w:left="29" w:right="101" w:hanging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- внешний вид</w:t>
            </w:r>
          </w:p>
          <w:p>
            <w:pPr>
              <w:pStyle w:val="Normal"/>
              <w:shd w:fill="FFFFFF" w:val="clear"/>
              <w:spacing w:lineRule="exact" w:line="238" w:before="0" w:after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- раствор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- тип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 xml:space="preserve">- плотность </w:t>
            </w: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при 20 °С</w:t>
            </w: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, кг/м3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- температура застывания, °С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- температура вспышки в закрытом тигле, °С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w w:val="105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- токсичность по ГОСТ 12.1.005-88</w:t>
            </w:r>
            <w:r>
              <w:rPr>
                <w:rFonts w:eastAsia="Times New Roman" w:cs="Times New Roman"/>
                <w:color w:val="000000"/>
                <w:w w:val="105"/>
                <w:szCs w:val="20"/>
                <w:vertAlign w:val="superscript"/>
                <w:lang w:eastAsia="ru-RU"/>
              </w:rPr>
              <w:t>*</w:t>
            </w: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 xml:space="preserve"> (ПДК в воздухе рабочей зоны), мг/м</w:t>
            </w:r>
            <w:r>
              <w:rPr>
                <w:rFonts w:eastAsia="Times New Roman" w:cs="Times New Roman"/>
                <w:color w:val="000000"/>
                <w:w w:val="105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w w:val="105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- класс опасности по ГОСТ 12.1.007-76</w:t>
            </w:r>
            <w:r>
              <w:rPr>
                <w:rFonts w:eastAsia="Times New Roman" w:cs="Times New Roman"/>
                <w:color w:val="000000"/>
                <w:w w:val="105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- категория и группа взрывоопасной смеси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- кинематическая вязкость, сСт при 20°С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- температура, °С, не менее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  <w:t>- класс опасности по ГОСТ 12.1005-88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Рабочие параметры: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ind w:left="276" w:right="0" w:hanging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- Требуемая максимальная подача, л/ч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ind w:left="276" w:right="0" w:hanging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- Технологическое давление, МПа (изб.)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ind w:left="276" w:right="0" w:hanging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- Максимально-возможное давление, МПа (изб.)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Режим работы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Материал проточной части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Исполнение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23" w:before="0" w:after="0"/>
              <w:ind w:left="29" w:right="101" w:hanging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Двигатель:</w:t>
            </w:r>
          </w:p>
          <w:p>
            <w:pPr>
              <w:pStyle w:val="Normal"/>
              <w:shd w:fill="FFFFFF" w:val="clear"/>
              <w:spacing w:lineRule="exact" w:line="223" w:before="0" w:after="0"/>
              <w:ind w:left="276" w:right="101" w:hanging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- напряжение, В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23" w:before="0" w:after="0"/>
              <w:ind w:left="29" w:right="101" w:hanging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- частота в сети, Гц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3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23" w:before="0" w:after="0"/>
              <w:ind w:left="29" w:right="101" w:hanging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Требуются ли дополнительные услуги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23" w:before="0" w:after="0"/>
              <w:ind w:left="29" w:right="101" w:hanging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ШМ</w:t>
            </w: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33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23" w:before="0" w:after="0"/>
              <w:ind w:left="29" w:right="101" w:hanging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23" w:before="0" w:after="0"/>
              <w:ind w:left="29" w:right="101" w:hanging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ПНР</w:t>
            </w: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33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23" w:before="0" w:after="0"/>
              <w:ind w:left="29" w:right="101" w:hanging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lineRule="exact" w:line="223" w:before="0" w:after="0"/>
              <w:ind w:left="29" w:right="101" w:hanging="0"/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w w:val="105"/>
                <w:szCs w:val="20"/>
                <w:lang w:eastAsia="ru-RU"/>
              </w:rPr>
              <w:t>Транспортировка (место назначения)</w:t>
            </w: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2"/>
                <w:szCs w:val="20"/>
                <w:lang w:eastAsia="ru-RU"/>
              </w:rPr>
            </w:r>
          </w:p>
        </w:tc>
        <w:tc>
          <w:tcPr>
            <w:tcW w:w="6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Требования к КИПиА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-2"/>
                <w:szCs w:val="20"/>
                <w:lang w:eastAsia="ru-RU"/>
              </w:rPr>
              <w:t>5</w:t>
            </w:r>
          </w:p>
        </w:tc>
        <w:tc>
          <w:tcPr>
            <w:tcW w:w="93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Наименование проектного института, контактные телефоны:</w:t>
            </w:r>
          </w:p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</w:tbl>
    <w:p>
      <w:pPr>
        <w:pStyle w:val="Normal"/>
        <w:ind w:left="432" w:right="0" w:hanging="43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24"/>
        <w:ind w:left="432" w:right="0" w:hanging="432"/>
        <w:rPr>
          <w:b/>
          <w:i/>
        </w:rPr>
      </w:pPr>
      <w:r>
        <w:rPr>
          <w:b/>
          <w:i/>
        </w:rPr>
        <w:t>Информацию подготовил:</w:t>
      </w:r>
    </w:p>
    <w:p>
      <w:pPr>
        <w:pStyle w:val="Normal"/>
        <w:spacing w:lineRule="auto" w:line="324"/>
        <w:ind w:left="432" w:right="0" w:hanging="432"/>
        <w:rPr>
          <w:b/>
          <w:i/>
        </w:rPr>
      </w:pPr>
      <w:r>
        <w:rPr>
          <w:b/>
          <w:i/>
        </w:rPr>
        <w:t xml:space="preserve">Фамилия, Имя, Отчество: </w:t>
        <w:tab/>
        <w:t>_______________________________________________</w:t>
      </w:r>
    </w:p>
    <w:p>
      <w:pPr>
        <w:pStyle w:val="Normal"/>
        <w:spacing w:lineRule="auto" w:line="324"/>
        <w:ind w:left="432" w:right="0" w:hanging="432"/>
        <w:rPr>
          <w:b/>
          <w:i/>
        </w:rPr>
      </w:pPr>
      <w:r>
        <w:rPr>
          <w:b/>
          <w:i/>
        </w:rPr>
        <w:t xml:space="preserve">Должность: </w:t>
        <w:tab/>
        <w:tab/>
        <w:tab/>
        <w:t>_______________________________________________</w:t>
      </w:r>
    </w:p>
    <w:p>
      <w:pPr>
        <w:pStyle w:val="Normal"/>
        <w:spacing w:lineRule="auto" w:line="324"/>
        <w:ind w:left="432" w:right="0" w:hanging="432"/>
        <w:rPr>
          <w:b/>
          <w:i/>
        </w:rPr>
      </w:pPr>
      <w:r>
        <w:rPr>
          <w:b/>
          <w:i/>
        </w:rPr>
        <w:t xml:space="preserve">Компания: </w:t>
        <w:tab/>
        <w:tab/>
        <w:tab/>
        <w:tab/>
        <w:t>_______________________________________________</w:t>
      </w:r>
    </w:p>
    <w:p>
      <w:pPr>
        <w:pStyle w:val="Normal"/>
        <w:spacing w:lineRule="auto" w:line="324"/>
        <w:ind w:left="432" w:right="0" w:hanging="432"/>
        <w:rPr>
          <w:b/>
          <w:i/>
        </w:rPr>
      </w:pPr>
      <w:r>
        <w:rPr>
          <w:b/>
          <w:i/>
        </w:rPr>
        <w:t xml:space="preserve">Почтовый адрес: </w:t>
        <w:tab/>
        <w:tab/>
        <w:tab/>
        <w:t>_______________________________________________</w:t>
      </w:r>
    </w:p>
    <w:p>
      <w:pPr>
        <w:pStyle w:val="Normal"/>
        <w:spacing w:lineRule="auto" w:line="324"/>
        <w:ind w:left="432" w:right="0" w:hanging="432"/>
        <w:rPr>
          <w:b/>
          <w:i/>
        </w:rPr>
      </w:pPr>
      <w:r>
        <w:rPr>
          <w:b/>
          <w:i/>
        </w:rPr>
        <w:t xml:space="preserve">Телефон: </w:t>
        <w:tab/>
        <w:tab/>
        <w:tab/>
        <w:tab/>
        <w:t>_______________________________________________</w:t>
      </w:r>
    </w:p>
    <w:p>
      <w:pPr>
        <w:pStyle w:val="Normal"/>
        <w:spacing w:lineRule="auto" w:line="324"/>
        <w:ind w:left="432" w:right="0" w:hanging="432"/>
        <w:rPr>
          <w:b/>
          <w:i/>
        </w:rPr>
      </w:pPr>
      <w:r>
        <w:rPr>
          <w:b/>
          <w:i/>
        </w:rPr>
        <w:t xml:space="preserve">Факс: </w:t>
        <w:tab/>
        <w:tab/>
        <w:tab/>
        <w:tab/>
        <w:tab/>
        <w:t>_______________________________________________</w:t>
      </w:r>
    </w:p>
    <w:p>
      <w:pPr>
        <w:pStyle w:val="Normal"/>
        <w:spacing w:lineRule="auto" w:line="324"/>
        <w:rPr>
          <w:b/>
          <w:i/>
        </w:rPr>
      </w:pPr>
      <w:r>
        <w:rPr>
          <w:b/>
        </w:rPr>
        <w:t>М.П.</w:t>
        <w:tab/>
        <w:tab/>
        <w:t>______</w:t>
      </w:r>
      <w:r>
        <w:rPr>
          <w:b/>
          <w:i/>
        </w:rPr>
        <w:t>__________________ Подпись руководителя предприятия (отдела)</w:t>
      </w:r>
    </w:p>
    <w:p>
      <w:pPr>
        <w:pStyle w:val="Normal"/>
        <w:spacing w:lineRule="auto" w:line="324"/>
        <w:ind w:left="708" w:right="0" w:firstLine="708"/>
        <w:rPr>
          <w:b/>
          <w:i/>
        </w:rPr>
      </w:pPr>
      <w:r>
        <w:rPr>
          <w:b/>
          <w:i/>
        </w:rPr>
        <w:t>__________________________________ Расшифровка подписи</w:t>
      </w:r>
    </w:p>
    <w:p>
      <w:pPr>
        <w:pStyle w:val="Normal"/>
        <w:rPr/>
      </w:pPr>
      <w:r>
        <w:rPr/>
      </w:r>
    </w:p>
    <w:p>
      <w:pPr>
        <w:pStyle w:val="Style20"/>
        <w:pBdr>
          <w:top w:val="nil"/>
          <w:left w:val="nil"/>
          <w:bottom w:val="nil"/>
          <w:right w:val="nil"/>
        </w:pBdr>
        <w:jc w:val="center"/>
        <w:rPr>
          <w:rStyle w:val="Style13"/>
        </w:rPr>
      </w:pPr>
      <w:hyperlink r:id="rId3">
        <w:r>
          <w:rPr>
            <w:rStyle w:val="Style13"/>
          </w:rPr>
          <w:t>www.akvoservice.ru</w:t>
        </w:r>
      </w:hyperlink>
    </w:p>
    <w:p>
      <w:pPr>
        <w:pStyle w:val="Style20"/>
        <w:pBdr>
          <w:top w:val="nil"/>
          <w:left w:val="nil"/>
          <w:bottom w:val="nil"/>
          <w:right w:val="nil"/>
        </w:pBdr>
        <w:jc w:val="center"/>
        <w:rPr/>
      </w:pPr>
      <w:r>
        <w:rPr/>
        <w:t>info@akvoservice.ru</w:t>
      </w:r>
    </w:p>
    <w:sectPr>
      <w:footerReference w:type="default" r:id="rId4"/>
      <w:type w:val="nextPage"/>
      <w:pgSz w:w="11906" w:h="16838"/>
      <w:pgMar w:left="1418" w:right="567" w:header="0" w:top="567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ind w:left="0" w:right="360" w:hanging="0"/>
      <w:rPr/>
    </w:pPr>
    <w:r>
      <w:rPr/>
    </w:r>
    <w:r>
      <w:pict>
        <v:rect fillcolor="#FFFFFF" style="position:absolute;width:6.05pt;height:13.8pt;mso-wrap-distance-left:-0.05pt;mso-wrap-distance-right:-0.05pt;mso-wrap-distance-top:0pt;mso-wrap-distance-bottom:0pt;margin-top:0.05pt;margin-left:490.05pt">
          <v:fill opacity="0f"/>
          <v:textbox inset="0in,0in,0in,0in">
            <w:txbxContent>
              <w:p>
                <w:pPr>
                  <w:pStyle w:val="Style20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0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uiPriority="0" w:name="page number"/>
    <w:lsdException w:unhideWhenUsed="0" w:semiHidden="0" w:qFormat="1" w:uiPriority="10" w:name="Title"/>
    <w:lsdException w:uiPriority="1" w:name="Default Paragraph Font"/>
    <w:lsdException w:unhideWhenUsed="0" w:semiHidden="0" w:qFormat="1" w:uiPriority="0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0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719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2">
    <w:name w:val="Заголовок 2"/>
    <w:qFormat/>
    <w:link w:val="20"/>
    <w:rsid w:val="00e719c2"/>
    <w:basedOn w:val="Normal"/>
    <w:pPr>
      <w:keepNext/>
      <w:ind w:left="0" w:right="0" w:firstLine="540"/>
      <w:outlineLvl w:val="1"/>
    </w:pPr>
    <w:rPr>
      <w:b/>
      <w:bCs/>
    </w:rPr>
  </w:style>
  <w:style w:type="paragraph" w:styleId="6">
    <w:name w:val="Заголовок 6"/>
    <w:qFormat/>
    <w:link w:val="60"/>
    <w:rsid w:val="00e719c2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Заголовок 9"/>
    <w:qFormat/>
    <w:link w:val="90"/>
    <w:rsid w:val="00e719c2"/>
    <w:basedOn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link w:val="2"/>
    <w:rsid w:val="00e719c2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61" w:customStyle="1">
    <w:name w:val="Заголовок 6 Знак"/>
    <w:link w:val="6"/>
    <w:rsid w:val="00e719c2"/>
    <w:basedOn w:val="DefaultParagraphFont"/>
    <w:rPr>
      <w:rFonts w:ascii="Times New Roman" w:hAnsi="Times New Roman" w:eastAsia="Times New Roman" w:cs="Times New Roman"/>
      <w:b/>
      <w:bCs/>
      <w:lang w:eastAsia="ru-RU"/>
    </w:rPr>
  </w:style>
  <w:style w:type="character" w:styleId="91" w:customStyle="1">
    <w:name w:val="Заголовок 9 Знак"/>
    <w:link w:val="9"/>
    <w:rsid w:val="00e719c2"/>
    <w:basedOn w:val="DefaultParagraphFont"/>
    <w:rPr>
      <w:rFonts w:ascii="Arial" w:hAnsi="Arial" w:eastAsia="Times New Roman" w:cs="Arial"/>
      <w:lang w:eastAsia="ru-RU"/>
    </w:rPr>
  </w:style>
  <w:style w:type="character" w:styleId="Style11" w:customStyle="1">
    <w:name w:val="Подзаголовок Знак"/>
    <w:link w:val="a3"/>
    <w:rsid w:val="00e719c2"/>
    <w:basedOn w:val="DefaultParagraphFont"/>
    <w:rPr>
      <w:rFonts w:ascii="Times New Roman" w:hAnsi="Times New Roman" w:eastAsia="Times New Roman" w:cs="Times New Roman"/>
      <w:b/>
      <w:bCs/>
      <w:sz w:val="36"/>
      <w:szCs w:val="24"/>
      <w:lang w:eastAsia="ru-RU"/>
    </w:rPr>
  </w:style>
  <w:style w:type="character" w:styleId="Style12" w:customStyle="1">
    <w:name w:val="Нижний колонтитул Знак"/>
    <w:link w:val="a5"/>
    <w:rsid w:val="00e719c2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rsid w:val="00e719c2"/>
    <w:basedOn w:val="DefaultParagraphFont"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Подзаголовок"/>
    <w:qFormat/>
    <w:link w:val="a4"/>
    <w:rsid w:val="00e719c2"/>
    <w:basedOn w:val="Normal"/>
    <w:pPr>
      <w:jc w:val="center"/>
    </w:pPr>
    <w:rPr>
      <w:b/>
      <w:bCs/>
      <w:sz w:val="36"/>
    </w:rPr>
  </w:style>
  <w:style w:type="paragraph" w:styleId="Style20">
    <w:name w:val="Нижний колонтитул"/>
    <w:link w:val="a6"/>
    <w:rsid w:val="00e719c2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" w:customStyle="1">
    <w:name w:val="Знак1"/>
    <w:rsid w:val="00e719c2"/>
    <w:basedOn w:val="Normal"/>
    <w:autoRedefine/>
    <w:pPr>
      <w:spacing w:lineRule="exact" w:line="240" w:before="0" w:after="160"/>
    </w:pPr>
    <w:rPr>
      <w:rFonts w:eastAsia="SimSun"/>
      <w:b/>
      <w:bCs/>
      <w:sz w:val="28"/>
      <w:szCs w:val="28"/>
      <w:lang w:val="en-US" w:eastAsia="en-US"/>
    </w:rPr>
  </w:style>
  <w:style w:type="paragraph" w:styleId="Style21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e719c2"/>
    <w:pPr>
      <w:spacing w:lineRule="auto" w:after="0" w:line="24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kvoservice.ru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2016-02-09T07:11:00Z</dcterms:created>
  <dc:creator>Хасанзянов Алексей</dc:creator>
  <dc:language>ru-RU</dc:language>
  <cp:lastModifiedBy>Хасанзянов Алексей</cp:lastModifiedBy>
  <dcterms:modified xsi:type="dcterms:W3CDTF">2016-02-09T07:12:00Z</dcterms:modified>
  <cp:revision>1</cp:revision>
</cp:coreProperties>
</file>